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A271" w14:textId="07C0930C" w:rsidR="006A38EF" w:rsidRPr="00AB4CE1" w:rsidRDefault="003E747A" w:rsidP="003E747A">
      <w:pPr>
        <w:jc w:val="center"/>
        <w:rPr>
          <w:rFonts w:ascii="Century Gothic" w:hAnsi="Century Gothic"/>
          <w:b/>
          <w:bCs/>
        </w:rPr>
      </w:pPr>
      <w:r w:rsidRPr="00AB4CE1">
        <w:rPr>
          <w:rFonts w:ascii="Century Gothic" w:hAnsi="Century Gothic"/>
          <w:b/>
          <w:bCs/>
        </w:rPr>
        <w:t>Intesa Invest Alternative fond od danas pod novim nazivom Intesa Invest Equity Alternative fond</w:t>
      </w:r>
    </w:p>
    <w:p w14:paraId="0285DCC9" w14:textId="77777777" w:rsidR="003E747A" w:rsidRDefault="003E747A">
      <w:pPr>
        <w:rPr>
          <w:b/>
          <w:bCs/>
        </w:rPr>
      </w:pPr>
    </w:p>
    <w:p w14:paraId="6BEB905D" w14:textId="01397C3A" w:rsidR="003E747A" w:rsidRPr="002F33F0" w:rsidRDefault="00F2791D" w:rsidP="00E1047D">
      <w:pPr>
        <w:jc w:val="both"/>
        <w:rPr>
          <w:rFonts w:ascii="Century Gothic" w:hAnsi="Century Gothic"/>
          <w:sz w:val="20"/>
          <w:szCs w:val="20"/>
        </w:rPr>
      </w:pPr>
      <w:r w:rsidRPr="00AB4CE1">
        <w:rPr>
          <w:rFonts w:ascii="Century Gothic" w:hAnsi="Century Gothic"/>
          <w:sz w:val="20"/>
          <w:szCs w:val="20"/>
        </w:rPr>
        <w:t>Ovom prilikom vas obaveštavamo da je</w:t>
      </w:r>
      <w:r w:rsidR="003E747A" w:rsidRPr="00AB4CE1">
        <w:rPr>
          <w:rFonts w:ascii="Century Gothic" w:hAnsi="Century Gothic"/>
          <w:sz w:val="20"/>
          <w:szCs w:val="20"/>
        </w:rPr>
        <w:t xml:space="preserve"> Društv</w:t>
      </w:r>
      <w:r w:rsidRPr="00AB4CE1">
        <w:rPr>
          <w:rFonts w:ascii="Century Gothic" w:hAnsi="Century Gothic"/>
          <w:sz w:val="20"/>
          <w:szCs w:val="20"/>
        </w:rPr>
        <w:t>o</w:t>
      </w:r>
      <w:r w:rsidR="003E747A" w:rsidRPr="00AB4CE1">
        <w:rPr>
          <w:rFonts w:ascii="Century Gothic" w:hAnsi="Century Gothic"/>
          <w:sz w:val="20"/>
          <w:szCs w:val="20"/>
        </w:rPr>
        <w:t xml:space="preserve"> za upravljanje otvorenim investicionim fondovima sa javnom ponudom i alternativnim investicionim fondovima Intesa Invest ad Beograd, izmen</w:t>
      </w:r>
      <w:r w:rsidR="002F33F0">
        <w:rPr>
          <w:rFonts w:ascii="Century Gothic" w:hAnsi="Century Gothic"/>
          <w:sz w:val="20"/>
          <w:szCs w:val="20"/>
        </w:rPr>
        <w:t xml:space="preserve">jen </w:t>
      </w:r>
      <w:r w:rsidR="003E747A" w:rsidRPr="00AB4CE1">
        <w:rPr>
          <w:rFonts w:ascii="Century Gothic" w:hAnsi="Century Gothic"/>
          <w:sz w:val="20"/>
          <w:szCs w:val="20"/>
        </w:rPr>
        <w:t>naziv Intesa Invest Alternative fonda</w:t>
      </w:r>
      <w:r w:rsidR="002F33F0">
        <w:rPr>
          <w:rFonts w:ascii="Century Gothic" w:hAnsi="Century Gothic"/>
          <w:sz w:val="20"/>
          <w:szCs w:val="20"/>
        </w:rPr>
        <w:t xml:space="preserve"> u novi</w:t>
      </w:r>
      <w:r w:rsidR="003E747A" w:rsidRPr="00AB4CE1">
        <w:rPr>
          <w:rFonts w:ascii="Century Gothic" w:hAnsi="Century Gothic"/>
          <w:sz w:val="20"/>
          <w:szCs w:val="20"/>
        </w:rPr>
        <w:t xml:space="preserve"> koji sada </w:t>
      </w:r>
      <w:r w:rsidR="004F5208" w:rsidRPr="00AB4CE1">
        <w:rPr>
          <w:rFonts w:ascii="Century Gothic" w:hAnsi="Century Gothic"/>
          <w:sz w:val="20"/>
          <w:szCs w:val="20"/>
        </w:rPr>
        <w:t>glasi</w:t>
      </w:r>
      <w:r w:rsidR="002F33F0">
        <w:rPr>
          <w:rFonts w:ascii="Century Gothic" w:hAnsi="Century Gothic"/>
          <w:sz w:val="20"/>
          <w:szCs w:val="20"/>
        </w:rPr>
        <w:t xml:space="preserve"> </w:t>
      </w:r>
      <w:r w:rsidR="003E747A" w:rsidRPr="00AB4CE1">
        <w:rPr>
          <w:rFonts w:ascii="Century Gothic" w:hAnsi="Century Gothic"/>
          <w:b/>
          <w:bCs/>
          <w:sz w:val="20"/>
          <w:szCs w:val="20"/>
        </w:rPr>
        <w:t>Intesa Invest Equity Alternative fond</w:t>
      </w:r>
      <w:r w:rsidR="002F33F0">
        <w:rPr>
          <w:rFonts w:ascii="Century Gothic" w:hAnsi="Century Gothic"/>
          <w:b/>
          <w:bCs/>
          <w:sz w:val="20"/>
          <w:szCs w:val="20"/>
        </w:rPr>
        <w:t>.</w:t>
      </w:r>
    </w:p>
    <w:p w14:paraId="474E7A3C" w14:textId="77777777" w:rsidR="002F33F0" w:rsidRPr="002F33F0" w:rsidRDefault="00F2791D" w:rsidP="00E1047D">
      <w:pPr>
        <w:jc w:val="both"/>
        <w:rPr>
          <w:rFonts w:ascii="Century Gothic" w:hAnsi="Century Gothic"/>
          <w:sz w:val="20"/>
          <w:szCs w:val="20"/>
        </w:rPr>
      </w:pPr>
      <w:r w:rsidRPr="002F33F0">
        <w:rPr>
          <w:rFonts w:ascii="Century Gothic" w:hAnsi="Century Gothic"/>
          <w:sz w:val="20"/>
          <w:szCs w:val="20"/>
        </w:rPr>
        <w:t xml:space="preserve">U skladu sa </w:t>
      </w:r>
      <w:r w:rsidR="002F33F0" w:rsidRPr="002F33F0">
        <w:rPr>
          <w:rFonts w:ascii="Century Gothic" w:hAnsi="Century Gothic"/>
          <w:sz w:val="20"/>
          <w:szCs w:val="20"/>
        </w:rPr>
        <w:t xml:space="preserve">gore navedenim i </w:t>
      </w:r>
      <w:r w:rsidRPr="002F33F0">
        <w:rPr>
          <w:rFonts w:ascii="Century Gothic" w:hAnsi="Century Gothic"/>
          <w:sz w:val="20"/>
          <w:szCs w:val="20"/>
        </w:rPr>
        <w:t xml:space="preserve">članom 96. Zakona o alternativnim investicionim fondovima, Društvo je </w:t>
      </w:r>
      <w:r w:rsidR="002F33F0" w:rsidRPr="002F33F0">
        <w:rPr>
          <w:rFonts w:ascii="Century Gothic" w:hAnsi="Century Gothic"/>
          <w:sz w:val="20"/>
          <w:szCs w:val="20"/>
        </w:rPr>
        <w:t xml:space="preserve">izvršilo izmene Prospekta, Pravila fonda i Ključnih informacija i </w:t>
      </w:r>
      <w:r w:rsidRPr="002F33F0">
        <w:rPr>
          <w:rFonts w:ascii="Century Gothic" w:hAnsi="Century Gothic"/>
          <w:sz w:val="20"/>
          <w:szCs w:val="20"/>
        </w:rPr>
        <w:t xml:space="preserve">dana 20. avgusta 2025. godine obavestilo Komisiju za hartije od vrednosti o nameravanoj promeni naziva fonda. </w:t>
      </w:r>
    </w:p>
    <w:p w14:paraId="044D119E" w14:textId="40546233" w:rsidR="003E747A" w:rsidRPr="002F33F0" w:rsidRDefault="002F33F0" w:rsidP="00E1047D">
      <w:pPr>
        <w:shd w:val="clear" w:color="auto" w:fill="FFFFFF"/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2F33F0">
        <w:rPr>
          <w:rFonts w:ascii="Century Gothic" w:hAnsi="Century Gothic"/>
          <w:sz w:val="20"/>
          <w:szCs w:val="20"/>
        </w:rPr>
        <w:t xml:space="preserve">Imajući u vidu </w:t>
      </w:r>
      <w:r w:rsidR="00D12733" w:rsidRPr="002F33F0">
        <w:rPr>
          <w:rFonts w:ascii="Century Gothic" w:hAnsi="Century Gothic"/>
          <w:sz w:val="20"/>
          <w:szCs w:val="20"/>
        </w:rPr>
        <w:t>da</w:t>
      </w:r>
      <w:r w:rsidR="00F2791D" w:rsidRPr="002F33F0">
        <w:rPr>
          <w:rFonts w:ascii="Century Gothic" w:hAnsi="Century Gothic"/>
          <w:sz w:val="20"/>
          <w:szCs w:val="20"/>
        </w:rPr>
        <w:t xml:space="preserve"> Komisija u roku od 30 dana </w:t>
      </w:r>
      <w:r w:rsidR="00AB4CE1" w:rsidRPr="002F33F0">
        <w:rPr>
          <w:rFonts w:ascii="Century Gothic" w:hAnsi="Century Gothic"/>
          <w:sz w:val="20"/>
          <w:szCs w:val="20"/>
        </w:rPr>
        <w:t xml:space="preserve">od </w:t>
      </w:r>
      <w:r w:rsidR="00F2791D" w:rsidRPr="002F33F0">
        <w:rPr>
          <w:rFonts w:ascii="Century Gothic" w:hAnsi="Century Gothic"/>
          <w:sz w:val="20"/>
          <w:szCs w:val="20"/>
        </w:rPr>
        <w:t xml:space="preserve">dana prijema navedenog obaveštenja nije </w:t>
      </w:r>
      <w:r w:rsidRPr="002F33F0">
        <w:rPr>
          <w:rFonts w:ascii="Century Gothic" w:hAnsi="Century Gothic"/>
          <w:sz w:val="20"/>
          <w:szCs w:val="20"/>
        </w:rPr>
        <w:t xml:space="preserve">imala </w:t>
      </w:r>
      <w:r w:rsidR="00AB4CE1" w:rsidRPr="002F33F0">
        <w:rPr>
          <w:rFonts w:ascii="Century Gothic" w:hAnsi="Century Gothic"/>
          <w:sz w:val="20"/>
          <w:szCs w:val="20"/>
        </w:rPr>
        <w:t>primedb</w:t>
      </w:r>
      <w:r w:rsidRPr="002F33F0">
        <w:rPr>
          <w:rFonts w:ascii="Century Gothic" w:hAnsi="Century Gothic"/>
          <w:sz w:val="20"/>
          <w:szCs w:val="20"/>
        </w:rPr>
        <w:t>i</w:t>
      </w:r>
      <w:r w:rsidR="00AB4CE1" w:rsidRPr="002F33F0">
        <w:rPr>
          <w:rFonts w:ascii="Century Gothic" w:hAnsi="Century Gothic"/>
          <w:sz w:val="20"/>
          <w:szCs w:val="20"/>
        </w:rPr>
        <w:t xml:space="preserve"> u vezi </w:t>
      </w:r>
      <w:r w:rsidRPr="002F33F0">
        <w:rPr>
          <w:rFonts w:ascii="Century Gothic" w:hAnsi="Century Gothic"/>
          <w:sz w:val="20"/>
          <w:szCs w:val="20"/>
        </w:rPr>
        <w:t>gore navedene izmene</w:t>
      </w:r>
      <w:r w:rsidR="00AB4CE1" w:rsidRPr="002F33F0">
        <w:rPr>
          <w:rFonts w:ascii="Century Gothic" w:hAnsi="Century Gothic"/>
          <w:sz w:val="20"/>
          <w:szCs w:val="20"/>
        </w:rPr>
        <w:t xml:space="preserve"> naziva fonda,</w:t>
      </w:r>
      <w:r w:rsidR="005907E0" w:rsidRPr="002F33F0">
        <w:rPr>
          <w:rFonts w:ascii="Century Gothic" w:hAnsi="Century Gothic"/>
          <w:sz w:val="20"/>
          <w:szCs w:val="20"/>
        </w:rPr>
        <w:t xml:space="preserve"> saglasno stavu 3. člana</w:t>
      </w:r>
      <w:r w:rsidR="00AB4CE1" w:rsidRPr="002F33F0">
        <w:rPr>
          <w:rFonts w:ascii="Century Gothic" w:hAnsi="Century Gothic"/>
          <w:sz w:val="20"/>
          <w:szCs w:val="20"/>
        </w:rPr>
        <w:t xml:space="preserve"> </w:t>
      </w:r>
      <w:r w:rsidR="005907E0" w:rsidRPr="002F33F0">
        <w:rPr>
          <w:rFonts w:ascii="Century Gothic" w:hAnsi="Century Gothic"/>
          <w:sz w:val="20"/>
          <w:szCs w:val="20"/>
        </w:rPr>
        <w:t xml:space="preserve">96. Zakona o alternativnim investicionim fondovima </w:t>
      </w:r>
      <w:r w:rsidRPr="002F33F0">
        <w:rPr>
          <w:rFonts w:ascii="Century Gothic" w:eastAsia="Times New Roman" w:hAnsi="Century Gothic" w:cs="Arial"/>
          <w:color w:val="282828"/>
          <w:sz w:val="20"/>
          <w:szCs w:val="20"/>
          <w:lang w:eastAsia="sr-Latn-RS"/>
        </w:rPr>
        <w:t>smatra se da je predložene promene prihvatila i da od</w:t>
      </w:r>
      <w:r w:rsidR="00AB4CE1" w:rsidRPr="002F33F0">
        <w:rPr>
          <w:rFonts w:ascii="Century Gothic" w:hAnsi="Century Gothic"/>
          <w:sz w:val="20"/>
          <w:szCs w:val="20"/>
        </w:rPr>
        <w:t xml:space="preserve"> </w:t>
      </w:r>
      <w:r w:rsidR="00B06A1F" w:rsidRPr="002F33F0">
        <w:rPr>
          <w:rFonts w:ascii="Century Gothic" w:hAnsi="Century Gothic"/>
          <w:sz w:val="20"/>
          <w:szCs w:val="20"/>
        </w:rPr>
        <w:t xml:space="preserve">dana </w:t>
      </w:r>
      <w:r w:rsidR="00AB4CE1" w:rsidRPr="002F33F0">
        <w:rPr>
          <w:rFonts w:ascii="Century Gothic" w:hAnsi="Century Gothic"/>
          <w:sz w:val="20"/>
          <w:szCs w:val="20"/>
        </w:rPr>
        <w:t>20. septembra 2025. godine</w:t>
      </w:r>
      <w:r w:rsidRPr="002F33F0">
        <w:rPr>
          <w:rFonts w:ascii="Century Gothic" w:hAnsi="Century Gothic"/>
          <w:sz w:val="20"/>
          <w:szCs w:val="20"/>
        </w:rPr>
        <w:t xml:space="preserve"> navedeni fond posluje pod nazivom Intesa Invest Equity Alternative.</w:t>
      </w:r>
    </w:p>
    <w:p w14:paraId="4748E0D8" w14:textId="155A5B68" w:rsidR="003E747A" w:rsidRDefault="004F5208" w:rsidP="00E1047D">
      <w:pPr>
        <w:jc w:val="both"/>
        <w:rPr>
          <w:rFonts w:ascii="Century Gothic" w:hAnsi="Century Gothic"/>
          <w:sz w:val="20"/>
          <w:szCs w:val="20"/>
        </w:rPr>
      </w:pPr>
      <w:r w:rsidRPr="00AB4CE1">
        <w:rPr>
          <w:rFonts w:ascii="Century Gothic" w:hAnsi="Century Gothic"/>
          <w:sz w:val="20"/>
          <w:szCs w:val="20"/>
        </w:rPr>
        <w:t>Osnovni motiv odluke nalazi se u činjenici da u skladu sa Prospektom fonda, fond ulaže dominantno u akcije na međunarodnom tržištu kapitala, te smatramo da dodavanje naziva osnovne klase imovine doprinosi većoj transparentnosti</w:t>
      </w:r>
      <w:r w:rsidR="002F33F0">
        <w:rPr>
          <w:rFonts w:ascii="Century Gothic" w:hAnsi="Century Gothic"/>
          <w:sz w:val="20"/>
          <w:szCs w:val="20"/>
        </w:rPr>
        <w:t xml:space="preserve"> i</w:t>
      </w:r>
      <w:r w:rsidRPr="00AB4CE1">
        <w:rPr>
          <w:rFonts w:ascii="Century Gothic" w:hAnsi="Century Gothic"/>
          <w:sz w:val="20"/>
          <w:szCs w:val="20"/>
        </w:rPr>
        <w:t xml:space="preserve"> prepoznatljivosti</w:t>
      </w:r>
      <w:r w:rsidR="00AB4CE1">
        <w:rPr>
          <w:rFonts w:ascii="Century Gothic" w:hAnsi="Century Gothic"/>
          <w:sz w:val="20"/>
          <w:szCs w:val="20"/>
        </w:rPr>
        <w:t>.</w:t>
      </w:r>
      <w:r w:rsidR="002F33F0">
        <w:rPr>
          <w:rFonts w:ascii="Century Gothic" w:hAnsi="Century Gothic"/>
          <w:sz w:val="20"/>
          <w:szCs w:val="20"/>
        </w:rPr>
        <w:t xml:space="preserve"> Dodatno, o</w:t>
      </w:r>
      <w:r w:rsidRPr="00AB4CE1">
        <w:rPr>
          <w:rFonts w:ascii="Century Gothic" w:hAnsi="Century Gothic"/>
          <w:sz w:val="20"/>
          <w:szCs w:val="20"/>
        </w:rPr>
        <w:t xml:space="preserve">dređeniji naziv </w:t>
      </w:r>
      <w:r w:rsidR="00AB4CE1">
        <w:rPr>
          <w:rFonts w:ascii="Century Gothic" w:hAnsi="Century Gothic"/>
          <w:sz w:val="20"/>
          <w:szCs w:val="20"/>
        </w:rPr>
        <w:t xml:space="preserve">fonda </w:t>
      </w:r>
      <w:r w:rsidRPr="00AB4CE1">
        <w:rPr>
          <w:rFonts w:ascii="Century Gothic" w:hAnsi="Century Gothic"/>
          <w:sz w:val="20"/>
          <w:szCs w:val="20"/>
        </w:rPr>
        <w:t>omogućava potencijalnim i postojećim investitorima da odmah razumeju osnovnu orijentaciju fonda, posebno uzevši u obzir snažan rast tržišta investicionih fondova u našoj zemlji, sa sve bogatijiom ponudom kako otvorenih investicionih fondova sa javnom ponudom, tako i alternativnih investicinonih fondova</w:t>
      </w:r>
      <w:r w:rsidR="002F33F0">
        <w:rPr>
          <w:rFonts w:ascii="Century Gothic" w:hAnsi="Century Gothic"/>
          <w:sz w:val="20"/>
          <w:szCs w:val="20"/>
        </w:rPr>
        <w:t>.</w:t>
      </w:r>
    </w:p>
    <w:p w14:paraId="04AFD506" w14:textId="19239610" w:rsidR="002F33F0" w:rsidRPr="00AB4CE1" w:rsidRDefault="002F33F0" w:rsidP="00E1047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Ovo obaveštenje kao i izmenjeni dokumenti navedenog fonda Prospekt, Pravila poslovanja i Ključne informacije </w:t>
      </w:r>
      <w:r w:rsidR="00AF0BF4">
        <w:rPr>
          <w:rFonts w:ascii="Century Gothic" w:hAnsi="Century Gothic"/>
          <w:sz w:val="20"/>
          <w:szCs w:val="20"/>
        </w:rPr>
        <w:t xml:space="preserve">objavljeni su na internet stranici fonda (link: </w:t>
      </w:r>
      <w:r w:rsidR="00AF0BF4" w:rsidRPr="00AF0BF4">
        <w:rPr>
          <w:rFonts w:ascii="Century Gothic" w:hAnsi="Century Gothic"/>
          <w:sz w:val="20"/>
          <w:szCs w:val="20"/>
        </w:rPr>
        <w:t>https://www.intesainvest.rs/fondovi/intesa-invest-alternative</w:t>
      </w:r>
      <w:r w:rsidR="00AF0BF4">
        <w:rPr>
          <w:rFonts w:ascii="Century Gothic" w:hAnsi="Century Gothic"/>
          <w:sz w:val="20"/>
          <w:szCs w:val="20"/>
        </w:rPr>
        <w:t>).</w:t>
      </w:r>
    </w:p>
    <w:p w14:paraId="330C1C3A" w14:textId="77777777" w:rsidR="004F5208" w:rsidRPr="00AB4CE1" w:rsidRDefault="004F5208" w:rsidP="00E1047D">
      <w:pPr>
        <w:pStyle w:val="xxmsonormal"/>
        <w:shd w:val="clear" w:color="auto" w:fill="FFFFFF"/>
        <w:spacing w:before="0" w:beforeAutospacing="0" w:after="160" w:afterAutospacing="0"/>
        <w:jc w:val="both"/>
        <w:textAlignment w:val="baseline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AB4CE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Za svako pitanje i eventualnu nedoumicu, možete nam se obratiti putem imejla </w:t>
      </w:r>
      <w:hyperlink r:id="rId7" w:history="1">
        <w:r w:rsidRPr="00AB4CE1">
          <w:rPr>
            <w:rFonts w:ascii="Century Gothic" w:eastAsiaTheme="minorHAnsi" w:hAnsi="Century Gothic" w:cstheme="minorBidi"/>
            <w:sz w:val="20"/>
            <w:szCs w:val="20"/>
            <w:lang w:eastAsia="en-US"/>
          </w:rPr>
          <w:t>info@intesainvest.rs</w:t>
        </w:r>
      </w:hyperlink>
      <w:r w:rsidRPr="00AB4CE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ili na broj telefona 011/2011-555 na kojima smo dostupni da odgovorimo na Vaša pitanja u najkraćem mogućem roku.</w:t>
      </w:r>
    </w:p>
    <w:p w14:paraId="608AB076" w14:textId="77777777" w:rsidR="004F5208" w:rsidRPr="00AB4CE1" w:rsidRDefault="004F5208">
      <w:pPr>
        <w:rPr>
          <w:rFonts w:ascii="Century Gothic" w:hAnsi="Century Gothic"/>
          <w:sz w:val="20"/>
          <w:szCs w:val="20"/>
        </w:rPr>
      </w:pPr>
    </w:p>
    <w:p w14:paraId="02DE1468" w14:textId="09C6F4D8" w:rsidR="004F5208" w:rsidRPr="00AB4CE1" w:rsidRDefault="004F5208">
      <w:pPr>
        <w:rPr>
          <w:rFonts w:ascii="Century Gothic" w:hAnsi="Century Gothic"/>
          <w:sz w:val="20"/>
          <w:szCs w:val="20"/>
        </w:rPr>
      </w:pPr>
      <w:r w:rsidRPr="00AB4CE1">
        <w:rPr>
          <w:rFonts w:ascii="Century Gothic" w:hAnsi="Century Gothic"/>
          <w:sz w:val="20"/>
          <w:szCs w:val="20"/>
        </w:rPr>
        <w:t>Vaš Intesa Invest</w:t>
      </w:r>
    </w:p>
    <w:sectPr w:rsidR="004F5208" w:rsidRPr="00AB4CE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ADB4" w14:textId="77777777" w:rsidR="00EC3DF3" w:rsidRDefault="00EC3DF3" w:rsidP="004F5208">
      <w:pPr>
        <w:spacing w:after="0" w:line="240" w:lineRule="auto"/>
      </w:pPr>
      <w:r>
        <w:separator/>
      </w:r>
    </w:p>
  </w:endnote>
  <w:endnote w:type="continuationSeparator" w:id="0">
    <w:p w14:paraId="2DF7FB7F" w14:textId="77777777" w:rsidR="00EC3DF3" w:rsidRDefault="00EC3DF3" w:rsidP="004F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5D71" w14:textId="77777777" w:rsidR="00EC3DF3" w:rsidRDefault="00EC3DF3" w:rsidP="004F5208">
      <w:pPr>
        <w:spacing w:after="0" w:line="240" w:lineRule="auto"/>
      </w:pPr>
      <w:r>
        <w:separator/>
      </w:r>
    </w:p>
  </w:footnote>
  <w:footnote w:type="continuationSeparator" w:id="0">
    <w:p w14:paraId="6F9CECCE" w14:textId="77777777" w:rsidR="00EC3DF3" w:rsidRDefault="00EC3DF3" w:rsidP="004F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A7E4" w14:textId="2DC13C34" w:rsidR="004F5208" w:rsidRDefault="004F52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F650A" wp14:editId="147FC7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749425" cy="357505"/>
              <wp:effectExtent l="0" t="0" r="0" b="4445"/>
              <wp:wrapNone/>
              <wp:docPr id="1084996973" name="Text Box 2" descr="Klasifikacija: Interno/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94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CA7A0" w14:textId="094756CF" w:rsidR="004F5208" w:rsidRPr="004F5208" w:rsidRDefault="004F5208" w:rsidP="004F5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F520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Klasifikacija: Interno/Internal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F65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ifikacija: Interno/Internal" style="position:absolute;margin-left:86.55pt;margin-top:0;width:137.7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1FCCA7A0" w14:textId="094756CF" w:rsidR="004F5208" w:rsidRPr="004F5208" w:rsidRDefault="004F5208" w:rsidP="004F5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F520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Klasifikacija: Interno/Internal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BA13" w14:textId="2BE4E1EE" w:rsidR="004F5208" w:rsidRDefault="004F52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BC1F23" wp14:editId="1A274C9E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749425" cy="357505"/>
              <wp:effectExtent l="0" t="0" r="0" b="4445"/>
              <wp:wrapNone/>
              <wp:docPr id="1640282287" name="Text Box 3" descr="Klasifikacija: Interno/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94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6CDB8" w14:textId="17EED92C" w:rsidR="004F5208" w:rsidRPr="004F5208" w:rsidRDefault="004F5208" w:rsidP="004F5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F520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Klasifikacija: Interno/Internal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C1F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lasifikacija: Interno/Internal" style="position:absolute;margin-left:86.55pt;margin-top:0;width:137.7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966CDB8" w14:textId="17EED92C" w:rsidR="004F5208" w:rsidRPr="004F5208" w:rsidRDefault="004F5208" w:rsidP="004F5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F520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Klasifikacija: Interno/Internal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7132" w14:textId="77BDBE0E" w:rsidR="004F5208" w:rsidRDefault="004F52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311D57" wp14:editId="11DDA65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749425" cy="357505"/>
              <wp:effectExtent l="0" t="0" r="0" b="4445"/>
              <wp:wrapNone/>
              <wp:docPr id="843441037" name="Text Box 1" descr="Klasifikacija: Interno/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94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8ECA9" w14:textId="363C10B9" w:rsidR="004F5208" w:rsidRPr="004F5208" w:rsidRDefault="004F5208" w:rsidP="004F52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F520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Klasifikacija: Interno/Internal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1D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lasifikacija: Interno/Internal" style="position:absolute;margin-left:86.55pt;margin-top:0;width:137.7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6B18ECA9" w14:textId="363C10B9" w:rsidR="004F5208" w:rsidRPr="004F5208" w:rsidRDefault="004F5208" w:rsidP="004F52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F520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Klasifikacija: Interno/Internal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74B84"/>
    <w:multiLevelType w:val="hybridMultilevel"/>
    <w:tmpl w:val="391064E4"/>
    <w:lvl w:ilvl="0" w:tplc="910853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4590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7A"/>
    <w:rsid w:val="000101D9"/>
    <w:rsid w:val="00154596"/>
    <w:rsid w:val="001E61C6"/>
    <w:rsid w:val="002F33F0"/>
    <w:rsid w:val="003947AD"/>
    <w:rsid w:val="003971EC"/>
    <w:rsid w:val="003E747A"/>
    <w:rsid w:val="004F5208"/>
    <w:rsid w:val="005907E0"/>
    <w:rsid w:val="00610811"/>
    <w:rsid w:val="006A38EF"/>
    <w:rsid w:val="008A03CB"/>
    <w:rsid w:val="00AB4CE1"/>
    <w:rsid w:val="00AF0BF4"/>
    <w:rsid w:val="00B06A1F"/>
    <w:rsid w:val="00BD171E"/>
    <w:rsid w:val="00C34EC2"/>
    <w:rsid w:val="00CD2E07"/>
    <w:rsid w:val="00D12733"/>
    <w:rsid w:val="00E1047D"/>
    <w:rsid w:val="00EC3DF3"/>
    <w:rsid w:val="00F2791D"/>
    <w:rsid w:val="00F63314"/>
    <w:rsid w:val="00F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43A1"/>
  <w15:chartTrackingRefBased/>
  <w15:docId w15:val="{7CCFC898-1952-42ED-A36E-C49F7F6F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4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4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4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4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47A"/>
    <w:rPr>
      <w:b/>
      <w:bCs/>
      <w:smallCaps/>
      <w:color w:val="2F5496" w:themeColor="accent1" w:themeShade="BF"/>
      <w:spacing w:val="5"/>
    </w:rPr>
  </w:style>
  <w:style w:type="paragraph" w:customStyle="1" w:styleId="xxmsonormal">
    <w:name w:val="x_x_msonormal"/>
    <w:basedOn w:val="Normal"/>
    <w:rsid w:val="004F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4F52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tesainvest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Banca Intesa ad Beograd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Nikolic</dc:creator>
  <cp:keywords/>
  <dc:description/>
  <cp:lastModifiedBy>Marija Minic</cp:lastModifiedBy>
  <cp:revision>8</cp:revision>
  <dcterms:created xsi:type="dcterms:W3CDTF">2025-09-15T07:43:00Z</dcterms:created>
  <dcterms:modified xsi:type="dcterms:W3CDTF">2025-09-15T10:44:00Z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3245e38d,40abbd6d,61c4b8af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Klasifikacija: Interno/Internal</vt:lpwstr>
  </property>
  <property fmtid="{D5CDD505-2E9C-101B-9397-08002B2CF9AE}" pid="5" name="MSIP_Label_3407ab54-e94c-4dc1-8d12-f6f6975438a4_Enabled">
    <vt:lpwstr>true</vt:lpwstr>
  </property>
  <property fmtid="{D5CDD505-2E9C-101B-9397-08002B2CF9AE}" pid="6" name="MSIP_Label_3407ab54-e94c-4dc1-8d12-f6f6975438a4_SetDate">
    <vt:lpwstr>2025-09-15T08:17:20Z</vt:lpwstr>
  </property>
  <property fmtid="{D5CDD505-2E9C-101B-9397-08002B2CF9AE}" pid="7" name="MSIP_Label_3407ab54-e94c-4dc1-8d12-f6f6975438a4_Method">
    <vt:lpwstr>Privileged</vt:lpwstr>
  </property>
  <property fmtid="{D5CDD505-2E9C-101B-9397-08002B2CF9AE}" pid="8" name="MSIP_Label_3407ab54-e94c-4dc1-8d12-f6f6975438a4_Name">
    <vt:lpwstr>Interno-Internal</vt:lpwstr>
  </property>
  <property fmtid="{D5CDD505-2E9C-101B-9397-08002B2CF9AE}" pid="9" name="MSIP_Label_3407ab54-e94c-4dc1-8d12-f6f6975438a4_SiteId">
    <vt:lpwstr>dacc45ac-2744-490f-9a72-1b841bfcf46e</vt:lpwstr>
  </property>
  <property fmtid="{D5CDD505-2E9C-101B-9397-08002B2CF9AE}" pid="10" name="MSIP_Label_3407ab54-e94c-4dc1-8d12-f6f6975438a4_ActionId">
    <vt:lpwstr>209da787-09a8-42b7-9ee9-efe50117dc57</vt:lpwstr>
  </property>
  <property fmtid="{D5CDD505-2E9C-101B-9397-08002B2CF9AE}" pid="11" name="MSIP_Label_3407ab54-e94c-4dc1-8d12-f6f6975438a4_ContentBits">
    <vt:lpwstr>1</vt:lpwstr>
  </property>
  <property fmtid="{D5CDD505-2E9C-101B-9397-08002B2CF9AE}" pid="12" name="MSIP_Label_3407ab54-e94c-4dc1-8d12-f6f6975438a4_Tag">
    <vt:lpwstr>10, 0, 1, 1</vt:lpwstr>
  </property>
</Properties>
</file>